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ROSAC0039ZPB</w:t>
      </w:r>
      <w:r w:rsidDel="00000000" w:rsidR="00000000" w:rsidRPr="00000000">
        <w:rPr>
          <w:rtl w:val="0"/>
        </w:rPr>
      </w:r>
    </w:p>
    <w:p w:rsidR="00000000" w:rsidDel="00000000" w:rsidP="00000000" w:rsidRDefault="00000000" w:rsidRPr="00000000" w14:paraId="00000007">
      <w:pPr>
        <w:spacing w:after="24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Ciuperceni-Desa</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Nume/Organizație: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531,55</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1,34%</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53">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Dolj</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86589104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297,35</w:t>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in3fvyja3kx"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RONPA0409 Ciuperceni – Desa, RONPA0415 Balta Lată,</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RONPA0414 Balta Neagră;</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nr.1248/2016 privind aprobarea Planului de management și a Regulamentului ariilor naturale protejate Ciuperceni-Desa ROSCI0039 Ciuperceni-Desa, ROSPA0013 Calafat-Ciuperceni-Dunăre, 2.392. Ciuperceni-Desa, 2.398. Balta Lată, 2.397. Balta Neagră</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337"/>
        <w:gridCol w:w="4627"/>
        <w:tblGridChange w:id="0">
          <w:tblGrid>
            <w:gridCol w:w="4337"/>
            <w:gridCol w:w="462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3130 Ape stătătoare oligotrofice până la mezotrofice cu vegetație din Littorelletea uniflorae și/sau Isoëto-Nanojuncetea</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3140 Ape puternic oligo-mezotrofice cu vegetație bentonică de specii de Chara</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3150 Lacuri naturale eutrofice cu vegetație tip Magnopotamion sau Hydrocharition</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păjiști:</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6510 Pajiști de altitudine joasă (Alopecurus pratensis, Sanguisorba officinalis)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4">
            <w:pPr>
              <w:spacing w:after="0" w:lineRule="auto"/>
              <w:rPr>
                <w:b w:val="1"/>
                <w:bCs w:val="1"/>
                <w:sz w:val="22"/>
                <w:szCs w:val="22"/>
              </w:rPr>
            </w:pPr>
            <w:r w:rsidDel="00000000" w:rsidR="00000000" w:rsidRPr="00000000">
              <w:rPr>
                <w:i w:val="1"/>
                <w:iCs w:val="1"/>
                <w:sz w:val="22"/>
                <w:szCs w:val="22"/>
                <w:rtl w:val="0"/>
              </w:rPr>
              <w:t xml:space="preserve">1088 Cerambyx cerdo</w:t>
            </w:r>
            <w:r w:rsidDel="00000000" w:rsidR="00000000" w:rsidRPr="00000000">
              <w:rPr>
                <w:rtl w:val="0"/>
              </w:rPr>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7">
            <w:pPr>
              <w:spacing w:after="0" w:lineRule="auto"/>
              <w:rPr>
                <w:b w:val="1"/>
                <w:bCs w:val="1"/>
                <w:sz w:val="22"/>
                <w:szCs w:val="22"/>
              </w:rPr>
            </w:pPr>
            <w:r w:rsidDel="00000000" w:rsidR="00000000" w:rsidRPr="00000000">
              <w:rPr>
                <w:i w:val="1"/>
                <w:iCs w:val="1"/>
                <w:sz w:val="22"/>
                <w:szCs w:val="22"/>
                <w:rtl w:val="0"/>
              </w:rPr>
              <w:t xml:space="preserve">1335 Spermophilus citellus</w:t>
            </w:r>
            <w:r w:rsidDel="00000000" w:rsidR="00000000" w:rsidRPr="00000000">
              <w:rPr>
                <w:i w:val="1"/>
                <w:iCs w:val="1"/>
                <w:rtl w:val="0"/>
              </w:rPr>
              <w:br w:type="textWrapping"/>
            </w:r>
            <w:r w:rsidDel="00000000" w:rsidR="00000000" w:rsidRPr="00000000">
              <w:rPr>
                <w:b w:val="1"/>
                <w:bCs w:val="1"/>
                <w:sz w:val="22"/>
                <w:szCs w:val="22"/>
                <w:rtl w:val="0"/>
              </w:rPr>
              <w:t xml:space="preserve">Amfibieni: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1188 Bombina bombina</w:t>
            </w:r>
            <w:r w:rsidDel="00000000" w:rsidR="00000000" w:rsidRPr="00000000">
              <w:rPr>
                <w:i w:val="1"/>
                <w:iCs w:val="1"/>
                <w:rtl w:val="0"/>
              </w:rPr>
              <w:br w:type="textWrapping"/>
            </w:r>
            <w:r w:rsidDel="00000000" w:rsidR="00000000" w:rsidRPr="00000000">
              <w:rPr>
                <w:i w:val="1"/>
                <w:iCs w:val="1"/>
                <w:sz w:val="22"/>
                <w:szCs w:val="22"/>
                <w:rtl w:val="0"/>
              </w:rPr>
              <w:t xml:space="preserve">6997 Bufotes viridis</w:t>
            </w:r>
          </w:p>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A">
            <w:pPr>
              <w:spacing w:after="0" w:lineRule="auto"/>
              <w:rPr>
                <w:b w:val="1"/>
                <w:bCs w:val="1"/>
              </w:rPr>
            </w:pPr>
            <w:r w:rsidDel="00000000" w:rsidR="00000000" w:rsidRPr="00000000">
              <w:rPr>
                <w:i w:val="1"/>
                <w:iCs w:val="1"/>
                <w:sz w:val="22"/>
                <w:szCs w:val="22"/>
                <w:rtl w:val="0"/>
              </w:rPr>
              <w:t xml:space="preserve">1220 Emys orbicularis</w:t>
            </w:r>
            <w:r w:rsidDel="00000000" w:rsidR="00000000" w:rsidRPr="00000000">
              <w:rPr>
                <w:i w:val="1"/>
                <w:iCs w:val="1"/>
                <w:rtl w:val="0"/>
              </w:rPr>
              <w:br w:type="textWrapping"/>
            </w:r>
            <w:r w:rsidDel="00000000" w:rsidR="00000000" w:rsidRPr="00000000">
              <w:rPr>
                <w:b w:val="1"/>
                <w:bCs w:val="1"/>
                <w:sz w:val="22"/>
                <w:szCs w:val="22"/>
                <w:rtl w:val="0"/>
              </w:rPr>
              <w:t xml:space="preserve">Pești</w:t>
            </w:r>
            <w:r w:rsidDel="00000000" w:rsidR="00000000" w:rsidRPr="00000000">
              <w:rPr>
                <w:b w:val="1"/>
                <w:bCs w:val="1"/>
                <w:rtl w:val="0"/>
              </w:rPr>
              <w:t xml:space="preserve">:</w:t>
            </w:r>
          </w:p>
          <w:p w:rsidR="00000000" w:rsidDel="00000000" w:rsidP="00000000" w:rsidRDefault="00000000" w:rsidRPr="00000000" w14:paraId="0000008B">
            <w:pPr>
              <w:spacing w:after="0" w:lineRule="auto"/>
              <w:rPr>
                <w:b w:val="1"/>
                <w:bCs w:val="1"/>
              </w:rPr>
            </w:pPr>
            <w:r w:rsidDel="00000000" w:rsidR="00000000" w:rsidRPr="00000000">
              <w:rPr>
                <w:i w:val="1"/>
                <w:iCs w:val="1"/>
                <w:sz w:val="22"/>
                <w:szCs w:val="22"/>
                <w:rtl w:val="0"/>
              </w:rPr>
              <w:t xml:space="preserve">6963 Cobitis taenia Complex</w:t>
            </w:r>
            <w:r w:rsidDel="00000000" w:rsidR="00000000" w:rsidRPr="00000000">
              <w:rPr>
                <w:rtl w:val="0"/>
              </w:rPr>
            </w:r>
          </w:p>
          <w:p w:rsidR="00000000" w:rsidDel="00000000" w:rsidP="00000000" w:rsidRDefault="00000000" w:rsidRPr="00000000" w14:paraId="0000008C">
            <w:pPr>
              <w:spacing w:after="0" w:lineRule="auto"/>
              <w:rPr>
                <w:i w:val="1"/>
                <w:iCs w:val="1"/>
              </w:rPr>
            </w:pPr>
            <w:r w:rsidDel="00000000" w:rsidR="00000000" w:rsidRPr="00000000">
              <w:rPr>
                <w:i w:val="1"/>
                <w:iCs w:val="1"/>
                <w:sz w:val="22"/>
                <w:szCs w:val="22"/>
                <w:rtl w:val="0"/>
              </w:rPr>
              <w:t xml:space="preserve">6143 Romanogobio kessleri</w:t>
            </w:r>
            <w:r w:rsidDel="00000000" w:rsidR="00000000" w:rsidRPr="00000000">
              <w:rPr>
                <w:rtl w:val="0"/>
              </w:rPr>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1145 Misgurnus fossilis</w:t>
            </w:r>
            <w:r w:rsidDel="00000000" w:rsidR="00000000" w:rsidRPr="00000000">
              <w:rPr>
                <w:i w:val="1"/>
                <w:iCs w:val="1"/>
                <w:rtl w:val="0"/>
              </w:rPr>
              <w:br w:type="textWrapping"/>
            </w:r>
            <w:r w:rsidDel="00000000" w:rsidR="00000000" w:rsidRPr="00000000">
              <w:rPr>
                <w:i w:val="1"/>
                <w:iCs w:val="1"/>
                <w:sz w:val="22"/>
                <w:szCs w:val="22"/>
                <w:rtl w:val="0"/>
              </w:rPr>
              <w:t xml:space="preserve">2522 Pelecus cultratus</w:t>
            </w:r>
            <w:r w:rsidDel="00000000" w:rsidR="00000000" w:rsidRPr="00000000">
              <w:rPr>
                <w:i w:val="1"/>
                <w:iCs w:val="1"/>
                <w:rtl w:val="0"/>
              </w:rPr>
              <w:br w:type="textWrapping"/>
            </w:r>
            <w:r w:rsidDel="00000000" w:rsidR="00000000" w:rsidRPr="00000000">
              <w:rPr>
                <w:i w:val="1"/>
                <w:iCs w:val="1"/>
                <w:sz w:val="22"/>
                <w:szCs w:val="22"/>
                <w:rtl w:val="0"/>
              </w:rPr>
              <w:t xml:space="preserve">5339 Rhodeus amarus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2011 Umbra krameri</w:t>
            </w:r>
            <w:r w:rsidDel="00000000" w:rsidR="00000000" w:rsidRPr="00000000">
              <w:rPr>
                <w:i w:val="1"/>
                <w:iCs w:val="1"/>
                <w:rtl w:val="0"/>
              </w:rPr>
              <w:br w:type="textWrapping"/>
            </w:r>
            <w:r w:rsidDel="00000000" w:rsidR="00000000" w:rsidRPr="00000000">
              <w:rPr>
                <w:b w:val="1"/>
                <w:bCs w:val="1"/>
                <w:sz w:val="22"/>
                <w:szCs w:val="22"/>
                <w:rtl w:val="0"/>
              </w:rPr>
              <w:t xml:space="preserve">Plante</w:t>
            </w:r>
            <w:r w:rsidDel="00000000" w:rsidR="00000000" w:rsidRPr="00000000">
              <w:rPr>
                <w:b w:val="1"/>
                <w:bCs w:val="1"/>
                <w:rtl w:val="0"/>
              </w:rPr>
              <w:t xml:space="preserve">:</w:t>
            </w:r>
            <w:r w:rsidDel="00000000" w:rsidR="00000000" w:rsidRPr="00000000">
              <w:rPr>
                <w:i w:val="1"/>
                <w:iCs w:val="1"/>
                <w:rtl w:val="0"/>
              </w:rPr>
              <w:br w:type="textWrapping"/>
            </w:r>
            <w:r w:rsidDel="00000000" w:rsidR="00000000" w:rsidRPr="00000000">
              <w:rPr>
                <w:i w:val="1"/>
                <w:iCs w:val="1"/>
                <w:sz w:val="22"/>
                <w:szCs w:val="22"/>
                <w:rtl w:val="0"/>
              </w:rPr>
              <w:t xml:space="preserve">1428 Marsilea quadrifolia</w:t>
            </w:r>
          </w:p>
          <w:p w:rsidR="00000000" w:rsidDel="00000000" w:rsidP="00000000" w:rsidRDefault="00000000" w:rsidRPr="00000000" w14:paraId="0000008F">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0">
            <w:pPr>
              <w:spacing w:after="0" w:lineRule="auto"/>
              <w:rPr>
                <w:i w:val="1"/>
                <w:iCs w:val="1"/>
              </w:rPr>
            </w:pPr>
            <w:r w:rsidDel="00000000" w:rsidR="00000000" w:rsidRPr="00000000">
              <w:rPr>
                <w:i w:val="1"/>
                <w:iCs w:val="1"/>
                <w:sz w:val="22"/>
                <w:szCs w:val="22"/>
                <w:rtl w:val="0"/>
              </w:rPr>
              <w:t xml:space="preserve">A861 Calidris pugnax</w:t>
            </w:r>
            <w:r w:rsidDel="00000000" w:rsidR="00000000" w:rsidRPr="00000000">
              <w:rPr>
                <w:i w:val="1"/>
                <w:iCs w:val="1"/>
                <w:rtl w:val="0"/>
              </w:rPr>
              <w:br w:type="textWrapping"/>
            </w:r>
            <w:r w:rsidDel="00000000" w:rsidR="00000000" w:rsidRPr="00000000">
              <w:rPr>
                <w:i w:val="1"/>
                <w:iCs w:val="1"/>
                <w:sz w:val="22"/>
                <w:szCs w:val="22"/>
                <w:rtl w:val="0"/>
              </w:rPr>
              <w:t xml:space="preserve">A161 Tringa erythropus</w:t>
            </w:r>
            <w:r w:rsidDel="00000000" w:rsidR="00000000" w:rsidRPr="00000000">
              <w:rPr>
                <w:i w:val="1"/>
                <w:iCs w:val="1"/>
                <w:rtl w:val="0"/>
              </w:rPr>
              <w:br w:type="textWrapping"/>
            </w:r>
            <w:r w:rsidDel="00000000" w:rsidR="00000000" w:rsidRPr="00000000">
              <w:rPr>
                <w:i w:val="1"/>
                <w:iCs w:val="1"/>
                <w:sz w:val="22"/>
                <w:szCs w:val="22"/>
                <w:rtl w:val="0"/>
              </w:rPr>
              <w:t xml:space="preserve">A166 Tringa glareola</w:t>
            </w:r>
            <w:r w:rsidDel="00000000" w:rsidR="00000000" w:rsidRPr="00000000">
              <w:rPr>
                <w:i w:val="1"/>
                <w:iCs w:val="1"/>
                <w:rtl w:val="0"/>
              </w:rPr>
              <w:br w:type="textWrapping"/>
            </w:r>
            <w:r w:rsidDel="00000000" w:rsidR="00000000" w:rsidRPr="00000000">
              <w:rPr>
                <w:i w:val="1"/>
                <w:iCs w:val="1"/>
                <w:sz w:val="22"/>
                <w:szCs w:val="22"/>
                <w:rtl w:val="0"/>
              </w:rPr>
              <w:t xml:space="preserve">A164 Tringa nebularia</w:t>
            </w:r>
            <w:r w:rsidDel="00000000" w:rsidR="00000000" w:rsidRPr="00000000">
              <w:rPr>
                <w:i w:val="1"/>
                <w:iCs w:val="1"/>
                <w:rtl w:val="0"/>
              </w:rPr>
              <w:br w:type="textWrapping"/>
            </w:r>
            <w:r w:rsidDel="00000000" w:rsidR="00000000" w:rsidRPr="00000000">
              <w:rPr>
                <w:i w:val="1"/>
                <w:iCs w:val="1"/>
                <w:sz w:val="22"/>
                <w:szCs w:val="22"/>
                <w:rtl w:val="0"/>
              </w:rPr>
              <w:t xml:space="preserve">A165 Tringa ochropus</w:t>
            </w:r>
            <w:r w:rsidDel="00000000" w:rsidR="00000000" w:rsidRPr="00000000">
              <w:rPr>
                <w:i w:val="1"/>
                <w:iCs w:val="1"/>
                <w:rtl w:val="0"/>
              </w:rPr>
              <w:br w:type="textWrapping"/>
            </w:r>
            <w:r w:rsidDel="00000000" w:rsidR="00000000" w:rsidRPr="00000000">
              <w:rPr>
                <w:i w:val="1"/>
                <w:iCs w:val="1"/>
                <w:sz w:val="22"/>
                <w:szCs w:val="22"/>
                <w:rtl w:val="0"/>
              </w:rPr>
              <w:t xml:space="preserve">A163 Tringa stagnatilis</w:t>
            </w:r>
            <w:r w:rsidDel="00000000" w:rsidR="00000000" w:rsidRPr="00000000">
              <w:rPr>
                <w:i w:val="1"/>
                <w:iCs w:val="1"/>
                <w:rtl w:val="0"/>
              </w:rPr>
              <w:br w:type="textWrapping"/>
            </w:r>
            <w:r w:rsidDel="00000000" w:rsidR="00000000" w:rsidRPr="00000000">
              <w:rPr>
                <w:i w:val="1"/>
                <w:iCs w:val="1"/>
                <w:sz w:val="22"/>
                <w:szCs w:val="22"/>
                <w:rtl w:val="0"/>
              </w:rPr>
              <w:t xml:space="preserve">A162 Tringa totanus</w:t>
            </w:r>
            <w:r w:rsidDel="00000000" w:rsidR="00000000" w:rsidRPr="00000000">
              <w:rPr>
                <w:i w:val="1"/>
                <w:iCs w:val="1"/>
                <w:rtl w:val="0"/>
              </w:rPr>
              <w:br w:type="textWrapping"/>
            </w:r>
            <w:r w:rsidDel="00000000" w:rsidR="00000000" w:rsidRPr="00000000">
              <w:rPr>
                <w:i w:val="1"/>
                <w:iCs w:val="1"/>
                <w:sz w:val="22"/>
                <w:szCs w:val="22"/>
                <w:rtl w:val="0"/>
              </w:rPr>
              <w:t xml:space="preserve">A142 Vanellus vanellus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jc w:val="both"/>
              <w:rPr/>
            </w:pPr>
            <w:r w:rsidDel="00000000" w:rsidR="00000000" w:rsidRPr="00000000">
              <w:rPr>
                <w:sz w:val="22"/>
                <w:szCs w:val="22"/>
                <w:rtl w:val="0"/>
              </w:rPr>
              <w:t xml:space="preserve">Specii de interes conservativ</w:t>
            </w:r>
            <w:r w:rsidDel="00000000" w:rsidR="00000000" w:rsidRPr="00000000">
              <w:rPr>
                <w:rtl w:val="0"/>
              </w:rPr>
            </w:r>
          </w:p>
          <w:p w:rsidR="00000000" w:rsidDel="00000000" w:rsidP="00000000" w:rsidRDefault="00000000" w:rsidRPr="00000000" w14:paraId="00000093">
            <w:pPr>
              <w:spacing w:after="0" w:lineRule="auto"/>
              <w:jc w:val="both"/>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K01.03 secare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I01 specii invazive non-native (alogene) </w:t>
              <w:br w:type="textWrapping"/>
              <w:t xml:space="preserve">A04.01 pășunatul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9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A2">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Conectivitatea laterală cu lunca se reface prin numai dacă este necesar și posibil, prin breșe controlate în diguri[1.1], refacerea zonelor inundabile și a brațelor moarte deconectate.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9">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9">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CB">
      <w:pPr>
        <w:rPr>
          <w:b w:val="1"/>
          <w:bCs w:val="1"/>
          <w:sz w:val="22"/>
          <w:szCs w:val="22"/>
        </w:rPr>
      </w:pPr>
      <w:r w:rsidDel="00000000" w:rsidR="00000000" w:rsidRPr="00000000">
        <w:rPr>
          <w:rtl w:val="0"/>
        </w:rPr>
      </w:r>
    </w:p>
    <w:p w:rsidR="00000000" w:rsidDel="00000000" w:rsidP="00000000" w:rsidRDefault="00000000" w:rsidRPr="00000000" w14:paraId="000000CC">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21,16</w: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nr.1248/2016 privind aprobarea Planului de management și a Regulamentului ariilor naturale protejate Ciuperceni-Desa ROSCI0039 Ciuperceni-Desa, ROSPA0013 Calafat-Ciuperceni-Dunăre, 2.392. Ciuperceni-Desa, 2.398. Balta Lată, 2.397. Balta Neagră</w:t>
      </w:r>
    </w:p>
    <w:p w:rsidR="00000000" w:rsidDel="00000000" w:rsidP="00000000" w:rsidRDefault="00000000" w:rsidRPr="00000000" w14:paraId="000000D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şi a Ghidului de bune practici privind amenajarea pădurilor</w:t>
      </w:r>
      <w:r w:rsidDel="00000000" w:rsidR="00000000" w:rsidRPr="00000000">
        <w:rPr>
          <w:rtl w:val="0"/>
        </w:rPr>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5">
      <w:pPr>
        <w:rPr>
          <w:sz w:val="22"/>
          <w:szCs w:val="22"/>
        </w:rPr>
      </w:pPr>
      <w:r w:rsidDel="00000000" w:rsidR="00000000" w:rsidRPr="00000000">
        <w:rPr>
          <w:rtl w:val="0"/>
        </w:rPr>
      </w:r>
    </w:p>
    <w:p w:rsidR="00000000" w:rsidDel="00000000" w:rsidP="00000000" w:rsidRDefault="00000000" w:rsidRPr="00000000" w14:paraId="000000D6">
      <w:pPr>
        <w:rPr>
          <w:sz w:val="22"/>
          <w:szCs w:val="22"/>
        </w:rPr>
      </w:pPr>
      <w:r w:rsidDel="00000000" w:rsidR="00000000" w:rsidRPr="00000000">
        <w:rPr>
          <w:rtl w:val="0"/>
        </w:rPr>
      </w:r>
    </w:p>
    <w:p w:rsidR="00000000" w:rsidDel="00000000" w:rsidP="00000000" w:rsidRDefault="00000000" w:rsidRPr="00000000" w14:paraId="000000D7">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D8">
      <w:pPr>
        <w:spacing w:after="0" w:line="240" w:lineRule="auto"/>
        <w:rPr>
          <w:sz w:val="22"/>
          <w:szCs w:val="22"/>
        </w:rPr>
      </w:pPr>
      <w:r w:rsidDel="00000000" w:rsidR="00000000" w:rsidRPr="00000000">
        <w:rPr>
          <w:rtl w:val="0"/>
        </w:rPr>
      </w:r>
    </w:p>
    <w:tbl>
      <w:tblPr>
        <w:tblStyle w:val="Table9"/>
        <w:tblW w:w="8964.0" w:type="dxa"/>
        <w:jc w:val="left"/>
        <w:tblInd w:w="10.0" w:type="dxa"/>
        <w:tblLayout w:type="fixed"/>
        <w:tblLook w:val="0400"/>
      </w:tblPr>
      <w:tblGrid>
        <w:gridCol w:w="4392"/>
        <w:gridCol w:w="4572"/>
        <w:tblGridChange w:id="0">
          <w:tblGrid>
            <w:gridCol w:w="4392"/>
            <w:gridCol w:w="4572"/>
          </w:tblGrid>
        </w:tblGridChange>
      </w:tblGrid>
      <w:tr>
        <w:trPr>
          <w:cantSplit w:val="0"/>
          <w:trHeight w:val="297.9785156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24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24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24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DD">
            <w:pPr>
              <w:spacing w:after="0" w:line="24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DE">
            <w:pPr>
              <w:spacing w:after="0" w:line="240" w:lineRule="auto"/>
              <w:jc w:val="both"/>
              <w:rPr>
                <w:i w:val="1"/>
                <w:iCs w:val="1"/>
                <w:sz w:val="22"/>
                <w:szCs w:val="22"/>
              </w:rPr>
            </w:pPr>
            <w:r w:rsidDel="00000000" w:rsidR="00000000" w:rsidRPr="00000000">
              <w:rPr>
                <w:i w:val="1"/>
                <w:iCs w:val="1"/>
                <w:sz w:val="22"/>
                <w:szCs w:val="22"/>
                <w:rtl w:val="0"/>
              </w:rPr>
              <w:t xml:space="preserve">92A0 Păduri-galerii (zăvoaie) de Salix alba şi Populus alba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24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1">
            <w:pPr>
              <w:spacing w:after="0" w:line="240" w:lineRule="auto"/>
              <w:rPr>
                <w:i w:val="1"/>
                <w:iCs w:val="1"/>
                <w:sz w:val="22"/>
                <w:szCs w:val="22"/>
              </w:rPr>
            </w:pPr>
            <w:r w:rsidDel="00000000" w:rsidR="00000000" w:rsidRPr="00000000">
              <w:rPr>
                <w:i w:val="1"/>
                <w:iCs w:val="1"/>
                <w:sz w:val="22"/>
                <w:szCs w:val="22"/>
                <w:rtl w:val="0"/>
              </w:rPr>
              <w:t xml:space="preserve">4013 Carabus hungaricus </w:t>
            </w:r>
          </w:p>
          <w:p w:rsidR="00000000" w:rsidDel="00000000" w:rsidP="00000000" w:rsidRDefault="00000000" w:rsidRPr="00000000" w14:paraId="000000E2">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E3">
            <w:pPr>
              <w:spacing w:after="0" w:line="24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E4">
            <w:pPr>
              <w:spacing w:after="0" w:line="240" w:lineRule="auto"/>
              <w:rPr>
                <w:sz w:val="22"/>
                <w:szCs w:val="22"/>
              </w:rPr>
            </w:pPr>
            <w:r w:rsidDel="00000000" w:rsidR="00000000" w:rsidRPr="00000000">
              <w:rPr>
                <w:b w:val="1"/>
                <w:bCs w:val="1"/>
                <w:sz w:val="22"/>
                <w:szCs w:val="22"/>
                <w:rtl w:val="0"/>
              </w:rPr>
              <w:t xml:space="preserve">Păsări:</w:t>
            </w:r>
            <w:r w:rsidDel="00000000" w:rsidR="00000000" w:rsidRPr="00000000">
              <w:rPr>
                <w:rtl w:val="0"/>
              </w:rPr>
            </w:r>
          </w:p>
          <w:p w:rsidR="00000000" w:rsidDel="00000000" w:rsidP="00000000" w:rsidRDefault="00000000" w:rsidRPr="00000000" w14:paraId="000000E5">
            <w:pPr>
              <w:spacing w:after="0" w:line="240" w:lineRule="auto"/>
              <w:rPr>
                <w:i w:val="1"/>
                <w:iCs w:val="1"/>
                <w:sz w:val="22"/>
                <w:szCs w:val="22"/>
              </w:rPr>
            </w:pPr>
            <w:r w:rsidDel="00000000" w:rsidR="00000000" w:rsidRPr="00000000">
              <w:rPr>
                <w:i w:val="1"/>
                <w:iCs w:val="1"/>
                <w:sz w:val="22"/>
                <w:szCs w:val="22"/>
                <w:rtl w:val="0"/>
              </w:rPr>
              <w:t xml:space="preserve">A402 Accipiter brevipes</w:t>
              <w:br w:type="textWrapping"/>
              <w:t xml:space="preserve">A773 Ardea alba</w:t>
              <w:br w:type="textWrapping"/>
              <w:t xml:space="preserve">A028 Ardea cinerea</w:t>
              <w:br w:type="textWrapping"/>
              <w:t xml:space="preserve">A403 Buteo rufinus</w:t>
              <w:br w:type="textWrapping"/>
              <w:t xml:space="preserve">A231 Coracias garrulus</w:t>
              <w:br w:type="textWrapping"/>
              <w:t xml:space="preserve">A236 Dryocopus martius</w:t>
              <w:br w:type="textWrapping"/>
              <w:t xml:space="preserve">A868 Leiopicus medius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Rule="auto"/>
              <w:jc w:val="both"/>
              <w:rPr>
                <w:sz w:val="22"/>
                <w:szCs w:val="22"/>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Desemnarea ca ZPB se fundamentează pe valoarea ecologică ridicată a habitatelor și speciilor de interes conservativ prezente, precum și pe rolul acestora în menținerea biodiversității și a proceselor ecologice.</w:t>
            </w:r>
          </w:p>
        </w:tc>
      </w:tr>
      <w:tr>
        <w:trPr>
          <w:cantSplit w:val="0"/>
          <w:trHeight w:val="195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J03.01 Reducerea sau pierderea de caracteristici specifice de habitat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EF">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1">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8">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10E">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r w:rsidDel="00000000" w:rsidR="00000000" w:rsidRPr="00000000">
        <w:rPr>
          <w:rtl w:val="0"/>
        </w:rPr>
      </w:r>
    </w:p>
    <w:p w:rsidR="00000000" w:rsidDel="00000000" w:rsidP="00000000" w:rsidRDefault="00000000" w:rsidRPr="00000000" w14:paraId="00000110">
      <w:pPr>
        <w:rPr>
          <w:b w:val="1"/>
          <w:bCs w:val="1"/>
          <w:sz w:val="22"/>
          <w:szCs w:val="22"/>
        </w:rPr>
      </w:pPr>
      <w:r w:rsidDel="00000000" w:rsidR="00000000" w:rsidRPr="00000000">
        <w:rPr>
          <w:rtl w:val="0"/>
        </w:rPr>
      </w:r>
    </w:p>
    <w:p w:rsidR="00000000" w:rsidDel="00000000" w:rsidP="00000000" w:rsidRDefault="00000000" w:rsidRPr="00000000" w14:paraId="00000111">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11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213,04</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1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nr.1248/2016 privind aprobarea Planului de management și a Regulamentului ariilor naturale protejate Ciuperceni-Desa ROSCI0039 Ciuperceni-Desa, ROSPA0013 Calafat-Ciuperceni-Dunăre, 2.392. Ciuperceni-Desa, 2.398. Balta Lată, 2.397. Balta Neagră</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pBdr>
        <w:spacing w:line="259" w:lineRule="auto"/>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sz w:val="22"/>
          <w:szCs w:val="22"/>
          <w:rtl w:val="0"/>
        </w:rPr>
        <w:t xml:space="preserve">Informația ecologică</w:t>
      </w:r>
      <w:r w:rsidDel="00000000" w:rsidR="00000000" w:rsidRPr="00000000">
        <w:rPr>
          <w:rtl w:val="0"/>
        </w:rPr>
      </w:r>
    </w:p>
    <w:tbl>
      <w:tblPr>
        <w:tblStyle w:val="Table10"/>
        <w:tblW w:w="8982.0" w:type="dxa"/>
        <w:jc w:val="left"/>
        <w:tblInd w:w="10.0" w:type="dxa"/>
        <w:tblLayout w:type="fixed"/>
        <w:tblLook w:val="0400"/>
      </w:tblPr>
      <w:tblGrid>
        <w:gridCol w:w="4572"/>
        <w:gridCol w:w="4410"/>
        <w:tblGridChange w:id="0">
          <w:tblGrid>
            <w:gridCol w:w="4572"/>
            <w:gridCol w:w="44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24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11F">
            <w:pPr>
              <w:spacing w:after="0" w:line="24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120">
            <w:pPr>
              <w:spacing w:after="0" w:line="24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121">
            <w:pPr>
              <w:spacing w:after="0" w:lineRule="auto"/>
              <w:jc w:val="both"/>
              <w:rPr>
                <w:i w:val="1"/>
                <w:iCs w:val="1"/>
              </w:rPr>
            </w:pPr>
            <w:r w:rsidDel="00000000" w:rsidR="00000000" w:rsidRPr="00000000">
              <w:rPr>
                <w:i w:val="1"/>
                <w:iCs w:val="1"/>
                <w:sz w:val="22"/>
                <w:szCs w:val="22"/>
                <w:rtl w:val="0"/>
              </w:rPr>
              <w:t xml:space="preserve">92A0 Păduri-galerii (zăvoaie) de Salix alba şi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24">
            <w:pPr>
              <w:spacing w:after="0" w:line="240" w:lineRule="auto"/>
              <w:rPr>
                <w:i w:val="1"/>
                <w:iCs w:val="1"/>
                <w:sz w:val="22"/>
                <w:szCs w:val="22"/>
              </w:rPr>
            </w:pPr>
            <w:r w:rsidDel="00000000" w:rsidR="00000000" w:rsidRPr="00000000">
              <w:rPr>
                <w:i w:val="1"/>
                <w:iCs w:val="1"/>
                <w:sz w:val="22"/>
                <w:szCs w:val="22"/>
                <w:rtl w:val="0"/>
              </w:rPr>
              <w:t xml:space="preserve">4013 Carabus hungaricus </w:t>
            </w:r>
          </w:p>
          <w:p w:rsidR="00000000" w:rsidDel="00000000" w:rsidP="00000000" w:rsidRDefault="00000000" w:rsidRPr="00000000" w14:paraId="00000125">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26">
            <w:pPr>
              <w:spacing w:after="0" w:line="24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127">
            <w:pPr>
              <w:spacing w:after="0" w:line="240" w:lineRule="auto"/>
              <w:rPr>
                <w:sz w:val="22"/>
                <w:szCs w:val="22"/>
              </w:rPr>
            </w:pPr>
            <w:r w:rsidDel="00000000" w:rsidR="00000000" w:rsidRPr="00000000">
              <w:rPr>
                <w:b w:val="1"/>
                <w:bCs w:val="1"/>
                <w:sz w:val="22"/>
                <w:szCs w:val="22"/>
                <w:rtl w:val="0"/>
              </w:rPr>
              <w:t xml:space="preserve">Păsări:</w:t>
            </w:r>
            <w:r w:rsidDel="00000000" w:rsidR="00000000" w:rsidRPr="00000000">
              <w:rPr>
                <w:rtl w:val="0"/>
              </w:rPr>
            </w:r>
          </w:p>
          <w:p w:rsidR="00000000" w:rsidDel="00000000" w:rsidP="00000000" w:rsidRDefault="00000000" w:rsidRPr="00000000" w14:paraId="00000128">
            <w:pPr>
              <w:spacing w:after="0" w:lineRule="auto"/>
              <w:rPr>
                <w:i w:val="1"/>
                <w:iCs w:val="1"/>
              </w:rPr>
            </w:pPr>
            <w:r w:rsidDel="00000000" w:rsidR="00000000" w:rsidRPr="00000000">
              <w:rPr>
                <w:i w:val="1"/>
                <w:iCs w:val="1"/>
                <w:sz w:val="22"/>
                <w:szCs w:val="22"/>
                <w:rtl w:val="0"/>
              </w:rPr>
              <w:t xml:space="preserve">A402 Accipiter brevipes</w:t>
              <w:br w:type="textWrapping"/>
              <w:t xml:space="preserve">A773 Ardea alba</w:t>
              <w:br w:type="textWrapping"/>
              <w:t xml:space="preserve">A028 Ardea cinerea</w:t>
              <w:br w:type="textWrapping"/>
              <w:t xml:space="preserve">A403 Buteo rufinus</w:t>
              <w:br w:type="textWrapping"/>
              <w:t xml:space="preserve">A231 Coracias garrulus</w:t>
              <w:br w:type="textWrapping"/>
              <w:t xml:space="preserve">A236 Dryocopus martius</w:t>
              <w:br w:type="textWrapping"/>
              <w:t xml:space="preserve">A868 Leiopicus medius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spacing w:after="0" w:lineRule="auto"/>
              <w:jc w:val="both"/>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12D">
            <w:pPr>
              <w:spacing w:after="0" w:lineRule="auto"/>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12E">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12F">
            <w:pPr>
              <w:spacing w:after="0" w:lineRule="auto"/>
              <w:jc w:val="both"/>
              <w:rPr/>
            </w:pPr>
            <w:r w:rsidDel="00000000" w:rsidR="00000000" w:rsidRPr="00000000">
              <w:rPr>
                <w:sz w:val="22"/>
                <w:szCs w:val="22"/>
                <w:rtl w:val="0"/>
              </w:rPr>
              <w:t xml:space="preserve">J03.01 Reducerea sau pierderea de caracteristici specifice de habitat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13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3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3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3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3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3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3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3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0">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41">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2">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3">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4">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5">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6">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7">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48">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9">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4A">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4B">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C">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4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4F">
      <w:pPr>
        <w:jc w:val="center"/>
        <w:rPr>
          <w:b w:val="1"/>
          <w:bCs w:val="1"/>
          <w:sz w:val="22"/>
          <w:szCs w:val="22"/>
        </w:rPr>
      </w:pPr>
      <w:r w:rsidDel="00000000" w:rsidR="00000000" w:rsidRPr="00000000">
        <w:rPr>
          <w:rtl w:val="0"/>
        </w:rPr>
      </w:r>
    </w:p>
    <w:p w:rsidR="00000000" w:rsidDel="00000000" w:rsidP="00000000" w:rsidRDefault="00000000" w:rsidRPr="00000000" w14:paraId="00000150">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Bogdan, Octavia (1999), Principalele caracteristici climatice ale Câmpiei Române, Com. Geogr, III, pp. 267-280</w:t>
      </w:r>
    </w:p>
    <w:p w:rsidR="00000000" w:rsidDel="00000000" w:rsidP="00000000" w:rsidRDefault="00000000" w:rsidRPr="00000000" w14:paraId="000001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Ionescu, I. (1967), Solurile nisipoase de pe terasele Dunării dintre Jiu şi Olt, Şt. Sol., V, 2, Bucureşti.</w:t>
      </w:r>
    </w:p>
    <w:p w:rsidR="00000000" w:rsidDel="00000000" w:rsidP="00000000" w:rsidRDefault="00000000" w:rsidRPr="00000000" w14:paraId="0000015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Păun M., colab., 1969, Vegetaţia bălţilor din lunca Dunării dintre Calafat şi Nebuna (jud. Dolj), An. Univ. Craiova, s. IIIa, I (XI): 21-28</w:t>
      </w:r>
    </w:p>
    <w:p w:rsidR="00000000" w:rsidDel="00000000" w:rsidP="00000000" w:rsidRDefault="00000000" w:rsidRPr="00000000" w14:paraId="0000015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Păun M., colab., 1971, Importante puncte floristice şi de vegetaţie în cuprinsul Olteniei, St. Cerc., Comit. de Cult. Jud. Dolj, Craiova: 67-83</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15 octombrie 2024 – Craiova. Ulterior, în cadrul procesului de consultare extins la nivel național, au avut loc consultări suplimentare online, în data de 30 ianuarie 2026 cu participarea factorilor interesați relevanți din județul Dolj.</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5D">
      <w:pPr>
        <w:rPr/>
      </w:pPr>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9HArJTRGDdqydtz5HrrWyc3osg==">CgMxLjAaMAoBMBIrCikIB0IlChFRdWF0dHJvY2VudG8gU2FucxIQQXJpYWwgVW5pY29kZSBNUzIOaC5naW4zZnZ5amEza3g4AHIhMVh3SVd1MU91Wlp3Rkg5dUNXX09NdXJmOUlKZFQ4M2lW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